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080" w:right="0" w:hanging="36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Zürich den 29.09.15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Protokoll der TQ Sitzung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24.10.2017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ETL K25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Leitung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Tobias Rogg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Gäste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Deborah Mittner, Yingniao Dai (Musikplattform)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Verpflegung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Jimmy‘s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Anwesend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Board: Mélissa Zacharias, Tobias Rogg, Arabell Specker, Renato Bellotti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Abwesend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Daria Vdovenko, Lisa Felsenstein, Andreas Müller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Protokollführung Renato Bellotti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Nächste Sitzung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Flash mob with Musikplattform: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General agreement; Time: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Might be a motivation for new people to join TQ (not really necessary; expand?) and Musikplattform; advertisement for PBTQ; it‘s fun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Offer courses for preparation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Exchanged contact information with Musikplattform for further planning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Halloween Dancing: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No food contest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Drop the pirate theme for the board members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Print and distribute the posters --&gt; Handle this earlier/better next time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Collaboration with EPFL (They probably are like Freies Tanzen); workshops?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--&gt; Initial start for further „competitions“? (crowd-judged shows?)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--&gt; What kind of event did they expect?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Follow up event to UniKonTanz: PBTQ with preceding workshops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VSETH-Pizza-Plausch: still open</w:t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Tanzadministration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Split administration board post? We‘re getting bigger...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- Restructure website (Different sections for the dancing styles [latin, </w:t>
        <w:tab/>
        <w:t xml:space="preserve">social, ...]) --&gt; no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- Assign courses as a whole to different persons?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--&gt; Discuss at next meeting</w:t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Kommunikation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/>
      </w:pPr>
      <w:r w:rsidDel="00000000" w:rsidR="00000000" w:rsidRPr="00000000">
        <w:rPr>
          <w:rtl w:val="0"/>
        </w:rPr>
        <w:t xml:space="preserve">Produkte / Marketing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Condoms: Agreement on „Glow in the dark“; increase quantity from 5000 to 8000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Taking pictures during courses: Not possible --&gt; Go to Freies Tanzen</w:t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tl w:val="0"/>
        </w:rPr>
        <w:t xml:space="preserve">Informatik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Google Drive --&gt; synchronous editing</w:t>
      </w:r>
    </w:p>
    <w:p w:rsidR="00000000" w:rsidDel="00000000" w:rsidP="00000000" w:rsidRDefault="00000000" w:rsidRPr="00000000" w14:paraId="00000029">
      <w:pPr>
        <w:pStyle w:val="Heading1"/>
        <w:rPr/>
      </w:pPr>
      <w:r w:rsidDel="00000000" w:rsidR="00000000" w:rsidRPr="00000000">
        <w:rPr>
          <w:rtl w:val="0"/>
        </w:rPr>
        <w:t xml:space="preserve">Quästur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/>
      </w:pPr>
      <w:r w:rsidDel="00000000" w:rsidR="00000000" w:rsidRPr="00000000">
        <w:rPr>
          <w:rtl w:val="0"/>
        </w:rPr>
        <w:t xml:space="preserve">Varia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spacing w:after="48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a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Seite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color="00000a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40" w:lineRule="auto"/>
      <w:ind w:left="0" w:right="0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Seite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</wp:posOffset>
          </wp:positionH>
          <wp:positionV relativeFrom="paragraph">
            <wp:posOffset>9525</wp:posOffset>
          </wp:positionV>
          <wp:extent cx="642620" cy="569595"/>
          <wp:effectExtent b="0" l="0" r="0" t="0"/>
          <wp:wrapSquare wrapText="bothSides" distB="0" distT="0" distL="0" distR="0"/>
          <wp:docPr descr="../../../TQ%20Team/Externe%20Kommunikation/Logos/Weisser%20Hintergrund/tq_logo_weiss_rot_ohne.pdf" id="1" name="image2.png"/>
          <a:graphic>
            <a:graphicData uri="http://schemas.openxmlformats.org/drawingml/2006/picture">
              <pic:pic>
                <pic:nvPicPr>
                  <pic:cNvPr descr="../../../TQ%20Team/Externe%20Kommunikation/Logos/Weisser%20Hintergrund/tq_logo_weiss_rot_ohne.pd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620" cy="569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Tanzquotient (TQ)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24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Kommission des VSETH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Tanzquotient (TQ)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17145</wp:posOffset>
          </wp:positionH>
          <wp:positionV relativeFrom="paragraph">
            <wp:posOffset>-13969</wp:posOffset>
          </wp:positionV>
          <wp:extent cx="1305560" cy="1166495"/>
          <wp:effectExtent b="0" l="0" r="0" t="0"/>
          <wp:wrapSquare wrapText="bothSides" distB="0" distT="0" distL="0" distR="0"/>
          <wp:docPr descr="../../../TQ%20Team/Externe%20Kommunikation/Logos/Weisser%20Hintergrund/tq_logo_weiss_rot_ohne.pdf" id="2" name="image1.png"/>
          <a:graphic>
            <a:graphicData uri="http://schemas.openxmlformats.org/drawingml/2006/picture">
              <pic:pic>
                <pic:nvPicPr>
                  <pic:cNvPr descr="../../../TQ%20Team/Externe%20Kommunikation/Logos/Weisser%20Hintergrund/tq_logo_weiss_rot_ohne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5560" cy="1166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Kommission des VSETH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Universitätstrasse 6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CH - 8092 Zürich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kontakt@tq.vseth.ch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color="00000a" w:space="1" w:sz="4" w:val="single"/>
        <w:right w:space="0" w:sz="0" w:val="nil"/>
        <w:between w:space="0" w:sz="0" w:val="nil"/>
      </w:pBdr>
      <w:shd w:fill="auto" w:val="clear"/>
      <w:tabs>
        <w:tab w:val="right" w:pos="9072"/>
      </w:tabs>
      <w:spacing w:after="24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Homepage: tq.ethz.ch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decimal"/>
      <w:lvlText w:val="%5."/>
      <w:lvlJc w:val="left"/>
      <w:pPr>
        <w:ind w:left="2520" w:hanging="360"/>
      </w:pPr>
      <w:rPr/>
    </w:lvl>
    <w:lvl w:ilvl="5">
      <w:start w:val="1"/>
      <w:numFmt w:val="decimal"/>
      <w:lvlText w:val="%6."/>
      <w:lvlJc w:val="left"/>
      <w:pPr>
        <w:ind w:left="2880" w:hanging="360"/>
      </w:pPr>
      <w:rPr/>
    </w:lvl>
    <w:lvl w:ilvl="6">
      <w:start w:val="1"/>
      <w:numFmt w:val="decimal"/>
      <w:lvlText w:val="%7."/>
      <w:lvlJc w:val="left"/>
      <w:pPr>
        <w:ind w:left="3240" w:hanging="360"/>
      </w:pPr>
      <w:rPr/>
    </w:lvl>
    <w:lvl w:ilvl="7">
      <w:start w:val="1"/>
      <w:numFmt w:val="decimal"/>
      <w:lvlText w:val="%8."/>
      <w:lvlJc w:val="left"/>
      <w:pPr>
        <w:ind w:left="3600" w:hanging="360"/>
      </w:pPr>
      <w:rPr/>
    </w:lvl>
    <w:lvl w:ilvl="8">
      <w:start w:val="1"/>
      <w:numFmt w:val="decimal"/>
      <w:lvlText w:val="%9."/>
      <w:lvlJc w:val="left"/>
      <w:pPr>
        <w:ind w:left="396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de-CH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a" w:space="1" w:sz="4" w:val="single"/>
      </w:pBdr>
      <w:spacing w:after="0" w:before="240" w:lineRule="auto"/>
    </w:pPr>
    <w:rPr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before="240" w:lineRule="auto"/>
      <w:jc w:val="center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