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jc w:val="right"/>
        <w:rPr>
          <w:rFonts w:ascii="Avenir Book" w:cs="Avenir Book" w:eastAsia="Avenir Book" w:hAnsi="Avenir Book"/>
          <w:b w:val="0"/>
          <w:sz w:val="24"/>
          <w:szCs w:val="24"/>
        </w:rPr>
      </w:pPr>
      <w:r w:rsidDel="00000000" w:rsidR="00000000" w:rsidRPr="00000000">
        <w:rPr>
          <w:rFonts w:ascii="Avenir Book" w:cs="Avenir Book" w:eastAsia="Avenir Book" w:hAnsi="Avenir Book"/>
          <w:b w:val="0"/>
          <w:sz w:val="24"/>
          <w:szCs w:val="24"/>
          <w:rtl w:val="0"/>
        </w:rPr>
        <w:t xml:space="preserve">Stand: </w:t>
      </w:r>
      <w:r w:rsidDel="00000000" w:rsidR="00000000" w:rsidRPr="00000000">
        <w:rPr>
          <w:rFonts w:ascii="Avenir Book" w:cs="Avenir Book" w:eastAsia="Avenir Book" w:hAnsi="Avenir Book"/>
          <w:sz w:val="24"/>
          <w:szCs w:val="24"/>
          <w:rtl w:val="0"/>
        </w:rPr>
        <w:t xml:space="preserve">6.5.2016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venir Book" w:cs="Avenir Book" w:eastAsia="Avenir Book" w:hAnsi="Avenir Book"/>
        </w:rPr>
      </w:pPr>
      <w:r w:rsidDel="00000000" w:rsidR="00000000" w:rsidRPr="00000000">
        <w:rPr>
          <w:rFonts w:ascii="Avenir Book" w:cs="Avenir Book" w:eastAsia="Avenir Book" w:hAnsi="Avenir Book"/>
          <w:rtl w:val="0"/>
        </w:rPr>
        <w:t xml:space="preserve">Traktandenliste Vorstandssitzung 11.7.2016 17:00 Uhr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Gäste: ?</w:t>
      </w:r>
      <w:r w:rsidDel="00000000" w:rsidR="00000000" w:rsidRPr="00000000">
        <w:rPr>
          <w:rtl w:val="0"/>
        </w:rPr>
      </w:r>
    </w:p>
    <w:tbl>
      <w:tblPr>
        <w:tblStyle w:val="Table1"/>
        <w:tblW w:w="906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5"/>
        <w:gridCol w:w="3750"/>
        <w:gridCol w:w="2010"/>
        <w:gridCol w:w="1230"/>
        <w:gridCol w:w="1455"/>
        <w:tblGridChange w:id="0">
          <w:tblGrid>
            <w:gridCol w:w="615"/>
            <w:gridCol w:w="3750"/>
            <w:gridCol w:w="2010"/>
            <w:gridCol w:w="1230"/>
            <w:gridCol w:w="1455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  <w:b w:val="1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b w:val="1"/>
                <w:rtl w:val="0"/>
              </w:rPr>
              <w:t xml:space="preserve">Nr.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  <w:b w:val="1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b w:val="1"/>
                <w:rtl w:val="0"/>
              </w:rPr>
              <w:t xml:space="preserve">Thema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  <w:b w:val="1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b w:val="1"/>
                <w:rtl w:val="0"/>
              </w:rPr>
              <w:t xml:space="preserve">Personen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  <w:b w:val="1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b w:val="1"/>
                <w:rtl w:val="0"/>
              </w:rPr>
              <w:t xml:space="preserve">Art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  <w:b w:val="1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b w:val="1"/>
                <w:rtl w:val="0"/>
              </w:rPr>
              <w:t xml:space="preserve">Zeit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Vorstellung des TQ und Begrüssung der Gäste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TQ, Gäste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5 min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Vorstellung der Traktandenliste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Dis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2 min</w:t>
            </w:r>
          </w:p>
        </w:tc>
      </w:tr>
      <w:tr>
        <w:tc>
          <w:tcPr>
            <w:gridSpan w:val="5"/>
            <w:shd w:fill="b8cce4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Sitzungsadministration</w:t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Wahl eines Protokollführers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Abs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2 min</w:t>
            </w:r>
          </w:p>
        </w:tc>
      </w:tr>
      <w:tr>
        <w:tc>
          <w:tcPr>
            <w:gridSpan w:val="5"/>
            <w:shd w:fill="b8cce4" w:val="clea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Interna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right="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 Reglement Veröffentlichung/Bewusstsein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Inf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5 min</w:t>
            </w:r>
          </w:p>
        </w:tc>
      </w:tr>
      <w:tr>
        <w:tc>
          <w:tcPr>
            <w:gridSpan w:val="5"/>
            <w:shd w:fill="b8cce4" w:val="clea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Ressorts 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TAD: 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Sommerworkshops Zwischenbillanz (wenig Teilnehmer, Kursabsagen)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!!! Raum für Burlesque reserviert (GZ Affoltern: Sommerpause?)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Umgang mit neuen Tanzlehrern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Vorschau HS2016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TQ/AS, MZ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Dis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10 min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Interna: 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Evaluationen</w:t>
            </w:r>
          </w:p>
          <w:p w:rsidR="00000000" w:rsidDel="00000000" w:rsidP="00000000" w:rsidRDefault="00000000" w:rsidRPr="00000000" w14:paraId="00000038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144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Ergebnisse?</w:t>
            </w:r>
          </w:p>
          <w:p w:rsidR="00000000" w:rsidDel="00000000" w:rsidP="00000000" w:rsidRDefault="00000000" w:rsidRPr="00000000" w14:paraId="00000039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1440" w:hanging="360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FS2016 Q2 evaluieren?</w:t>
            </w:r>
          </w:p>
          <w:p w:rsidR="00000000" w:rsidDel="00000000" w:rsidP="00000000" w:rsidRDefault="00000000" w:rsidRPr="00000000" w14:paraId="0000003A">
            <w:pPr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4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Sommerworkshops evaluieren?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TQ/LF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Dis/Inf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10 min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Quaestur: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Alle Kursgelder erhalten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Löhne überwiesen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Jetzt Löhne für Sommerkurse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Daniel &amp; Markus Lienhart wollen Rock’nRoll Folgekurs am Donnerstag machen (keinen Einsteigerkurs mehr)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Nachfolgersuche… Ab nächstem Semester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TQ/KD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Dis/Inf</w:t>
            </w:r>
          </w:p>
        </w:tc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RIT: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Info: Payment System</w:t>
            </w:r>
          </w:p>
          <w:p w:rsidR="00000000" w:rsidDel="00000000" w:rsidP="00000000" w:rsidRDefault="00000000" w:rsidRPr="00000000" w14:paraId="0000004C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144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Entscheid über zukünftiger Bezahl-Modus (“erst Geld dann Kursplatz”?)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New Features HS2016:</w:t>
            </w:r>
          </w:p>
          <w:p w:rsidR="00000000" w:rsidDel="00000000" w:rsidP="00000000" w:rsidRDefault="00000000" w:rsidRPr="00000000" w14:paraId="0000004E">
            <w:pPr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44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Kooperations Seite für Tanzschulen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TQ/SW, KD, MZ</w:t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Dis/Inf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10 min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KKOM: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Erstibags Helfer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TQ/KS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Dis/Inf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20 min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left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Events: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Grossanlässe HS2016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Stand Polyball Show</w:t>
            </w:r>
          </w:p>
          <w:p w:rsidR="00000000" w:rsidDel="00000000" w:rsidP="00000000" w:rsidRDefault="00000000" w:rsidRPr="00000000" w14:paraId="0000005C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line="240" w:lineRule="auto"/>
              <w:ind w:left="144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Crashkurse?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720" w:hanging="360"/>
              <w:jc w:val="left"/>
              <w:rPr>
                <w:rFonts w:ascii="Avenir Book" w:cs="Avenir Book" w:eastAsia="Avenir Book" w:hAnsi="Avenir Book"/>
                <w:u w:val="none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Activity Fair November</w:t>
            </w:r>
          </w:p>
        </w:tc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TQ/MZ, TC</w:t>
            </w:r>
          </w:p>
        </w:tc>
        <w:tc>
          <w:tcPr/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Dis/Inf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10 min</w:t>
            </w:r>
          </w:p>
        </w:tc>
      </w:tr>
      <w:tr>
        <w:tc>
          <w:tcPr>
            <w:gridSpan w:val="5"/>
            <w:shd w:fill="b8cce4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Fonts w:ascii="Avenir Book" w:cs="Avenir Book" w:eastAsia="Avenir Book" w:hAnsi="Avenir Book"/>
                <w:rtl w:val="0"/>
              </w:rPr>
              <w:t xml:space="preserve">Varia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venir Book" w:cs="Avenir Book" w:eastAsia="Avenir Book" w:hAnsi="Avenir Boo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venir Book" w:cs="Avenir Book" w:eastAsia="Avenir Book" w:hAnsi="Avenir Book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1134" w:top="1418" w:left="1418" w:right="1418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venir Book"/>
  <w:font w:name="ETH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jc w:val="both"/>
      <w:rPr/>
    </w:pPr>
    <w:r w:rsidDel="00000000" w:rsidR="00000000" w:rsidRPr="00000000">
      <w:rPr>
        <w:rFonts w:ascii="ETH Light" w:cs="ETH Light" w:eastAsia="ETH Light" w:hAnsi="ETH Light"/>
        <w:b w:val="0"/>
        <w:sz w:val="20"/>
        <w:szCs w:val="20"/>
        <w:rtl w:val="0"/>
      </w:rPr>
      <w:tab/>
      <w:t xml:space="preserve">Seite </w:t>
    </w:r>
    <w:r w:rsidDel="00000000" w:rsidR="00000000" w:rsidRPr="00000000">
      <w:rPr>
        <w:rFonts w:ascii="ETH Light" w:cs="ETH Light" w:eastAsia="ETH Light" w:hAnsi="ETH Light"/>
        <w:b w:val="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ETH Light" w:cs="ETH Light" w:eastAsia="ETH Light" w:hAnsi="ETH Light"/>
        <w:b w:val="0"/>
        <w:sz w:val="20"/>
        <w:szCs w:val="20"/>
        <w:rtl w:val="0"/>
      </w:rPr>
      <w:t xml:space="preserve"> von </w:t>
    </w:r>
    <w:r w:rsidDel="00000000" w:rsidR="00000000" w:rsidRPr="00000000">
      <w:rPr>
        <w:rFonts w:ascii="ETH Light" w:cs="ETH Light" w:eastAsia="ETH Light" w:hAnsi="ETH Light"/>
        <w:b w:val="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709" w:before="0" w:line="240" w:lineRule="auto"/>
      <w:jc w:val="both"/>
      <w:rPr>
        <w:rFonts w:ascii="Avenir Book" w:cs="Avenir Book" w:eastAsia="Avenir Book" w:hAnsi="Avenir Book"/>
        <w:b w:val="0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  <w:rtl w:val="0"/>
      </w:rPr>
      <w:tab/>
      <w:t xml:space="preserve">Seite </w:t>
    </w: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  <w:rtl w:val="0"/>
      </w:rPr>
      <w:t xml:space="preserve"> von </w:t>
    </w: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9" w:line="240" w:lineRule="auto"/>
      <w:jc w:val="right"/>
      <w:rPr>
        <w:rFonts w:ascii="Avenir Book" w:cs="Avenir Book" w:eastAsia="Avenir Book" w:hAnsi="Avenir Book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108586</wp:posOffset>
          </wp:positionH>
          <wp:positionV relativeFrom="paragraph">
            <wp:posOffset>9525</wp:posOffset>
          </wp:positionV>
          <wp:extent cx="642620" cy="569595"/>
          <wp:effectExtent b="0" l="0" r="0" t="0"/>
          <wp:wrapNone/>
          <wp:docPr descr="../../../TQ%20Team/Externe%20Kommunikation/Logos/Weisser%20Hintergrund/tq_logo_weiss_rot_ohne.pdf" id="1" name="image1.png"/>
          <a:graphic>
            <a:graphicData uri="http://schemas.openxmlformats.org/drawingml/2006/picture">
              <pic:pic>
                <pic:nvPicPr>
                  <pic:cNvPr descr="../../../TQ%20Team/Externe%20Kommunikation/Logos/Weisser%20Hintergrund/tq_logo_weiss_rot_ohne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2620" cy="5695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right"/>
      <w:rPr>
        <w:rFonts w:ascii="Avenir Book" w:cs="Avenir Book" w:eastAsia="Avenir Book" w:hAnsi="Avenir Book"/>
        <w:b w:val="1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1"/>
        <w:sz w:val="20"/>
        <w:szCs w:val="20"/>
        <w:rtl w:val="0"/>
      </w:rPr>
      <w:t xml:space="preserve">Tanzquotient (TQ)</w:t>
    </w:r>
  </w:p>
  <w:p w:rsidR="00000000" w:rsidDel="00000000" w:rsidP="00000000" w:rsidRDefault="00000000" w:rsidRPr="00000000" w14:paraId="0000006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40" w:lineRule="auto"/>
      <w:jc w:val="right"/>
      <w:rPr>
        <w:rFonts w:ascii="Avenir Book" w:cs="Avenir Book" w:eastAsia="Avenir Book" w:hAnsi="Avenir Book"/>
        <w:b w:val="0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  <w:rtl w:val="0"/>
      </w:rPr>
      <w:t xml:space="preserve">Kommission des VSETH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709" w:line="240" w:lineRule="auto"/>
      <w:jc w:val="right"/>
      <w:rPr>
        <w:rFonts w:ascii="Avenir Book" w:cs="Avenir Book" w:eastAsia="Avenir Book" w:hAnsi="Avenir Book"/>
        <w:b w:val="1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1"/>
        <w:sz w:val="20"/>
        <w:szCs w:val="20"/>
        <w:rtl w:val="0"/>
      </w:rPr>
      <w:t xml:space="preserve">Tanzquotient (TQ)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131445</wp:posOffset>
          </wp:positionH>
          <wp:positionV relativeFrom="paragraph">
            <wp:posOffset>-13969</wp:posOffset>
          </wp:positionV>
          <wp:extent cx="1305560" cy="1166495"/>
          <wp:effectExtent b="0" l="0" r="0" t="0"/>
          <wp:wrapNone/>
          <wp:docPr descr="../../../TQ%20Team/Externe%20Kommunikation/Logos/Weisser%20Hintergrund/tq_logo_weiss_rot_ohne.pdf" id="2" name="image2.png"/>
          <a:graphic>
            <a:graphicData uri="http://schemas.openxmlformats.org/drawingml/2006/picture">
              <pic:pic>
                <pic:nvPicPr>
                  <pic:cNvPr descr="../../../TQ%20Team/Externe%20Kommunikation/Logos/Weisser%20Hintergrund/tq_logo_weiss_rot_ohne.pdf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5560" cy="11664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right"/>
      <w:rPr>
        <w:rFonts w:ascii="Avenir Book" w:cs="Avenir Book" w:eastAsia="Avenir Book" w:hAnsi="Avenir Book"/>
        <w:b w:val="0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  <w:rtl w:val="0"/>
      </w:rPr>
      <w:t xml:space="preserve">Kommission des VSETH</w:t>
    </w:r>
  </w:p>
  <w:p w:rsidR="00000000" w:rsidDel="00000000" w:rsidP="00000000" w:rsidRDefault="00000000" w:rsidRPr="00000000" w14:paraId="0000007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right"/>
      <w:rPr>
        <w:rFonts w:ascii="Avenir Book" w:cs="Avenir Book" w:eastAsia="Avenir Book" w:hAnsi="Avenir Book"/>
        <w:b w:val="0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  <w:rtl w:val="0"/>
      </w:rPr>
      <w:t xml:space="preserve">Universitätstrasse 6</w:t>
    </w:r>
  </w:p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right"/>
      <w:rPr>
        <w:rFonts w:ascii="Avenir Book" w:cs="Avenir Book" w:eastAsia="Avenir Book" w:hAnsi="Avenir Book"/>
        <w:b w:val="0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  <w:rtl w:val="0"/>
      </w:rPr>
      <w:t xml:space="preserve">CH - 8092 Zürich</w:t>
    </w:r>
  </w:p>
  <w:p w:rsidR="00000000" w:rsidDel="00000000" w:rsidP="00000000" w:rsidRDefault="00000000" w:rsidRPr="00000000" w14:paraId="0000007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jc w:val="right"/>
      <w:rPr>
        <w:rFonts w:ascii="Avenir Book" w:cs="Avenir Book" w:eastAsia="Avenir Book" w:hAnsi="Avenir Book"/>
        <w:b w:val="0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  <w:rtl w:val="0"/>
      </w:rPr>
      <w:t xml:space="preserve">Email: kontakt@tq.vseth.ch</w:t>
    </w:r>
  </w:p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240" w:before="0" w:line="240" w:lineRule="auto"/>
      <w:jc w:val="right"/>
      <w:rPr>
        <w:rFonts w:ascii="Avenir Book" w:cs="Avenir Book" w:eastAsia="Avenir Book" w:hAnsi="Avenir Book"/>
        <w:b w:val="0"/>
        <w:sz w:val="20"/>
        <w:szCs w:val="20"/>
      </w:rPr>
    </w:pPr>
    <w:r w:rsidDel="00000000" w:rsidR="00000000" w:rsidRPr="00000000">
      <w:rPr>
        <w:rFonts w:ascii="Avenir Book" w:cs="Avenir Book" w:eastAsia="Avenir Book" w:hAnsi="Avenir Book"/>
        <w:b w:val="0"/>
        <w:sz w:val="20"/>
        <w:szCs w:val="20"/>
        <w:rtl w:val="0"/>
      </w:rPr>
      <w:t xml:space="preserve">Homepage: tq.ethz.ch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TH Light" w:cs="ETH Light" w:eastAsia="ETH Light" w:hAnsi="ETH Light"/>
        <w:sz w:val="22"/>
        <w:szCs w:val="22"/>
        <w:lang w:val="en"/>
      </w:rPr>
    </w:rPrDefault>
    <w:pPrDefault>
      <w:pPr>
        <w:spacing w:after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  <w:jc w:val="both"/>
    </w:pPr>
    <w:rPr>
      <w:rFonts w:ascii="ETH Light" w:cs="ETH Light" w:eastAsia="ETH Light" w:hAnsi="ETH Light"/>
      <w:b w:val="0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60" w:before="240" w:line="240" w:lineRule="auto"/>
      <w:jc w:val="both"/>
    </w:pPr>
    <w:rPr>
      <w:rFonts w:ascii="ETH Light" w:cs="ETH Light" w:eastAsia="ETH Light" w:hAnsi="ETH Light"/>
      <w:b w:val="0"/>
      <w:sz w:val="24"/>
      <w:szCs w:val="24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before="0" w:line="240" w:lineRule="auto"/>
      <w:jc w:val="both"/>
    </w:pPr>
    <w:rPr>
      <w:rFonts w:ascii="ETH Light" w:cs="ETH Light" w:eastAsia="ETH Light" w:hAnsi="ETH Light"/>
      <w:b w:val="0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840" w:before="240" w:line="240" w:lineRule="auto"/>
      <w:jc w:val="center"/>
    </w:pPr>
    <w:rPr>
      <w:rFonts w:ascii="ETH Light" w:cs="ETH Light" w:eastAsia="ETH Light" w:hAnsi="ETH Light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